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06517" w:rsidRDefault="004512CE" w:rsidP="00746FD7">
      <w:pPr>
        <w:ind w:right="183"/>
        <w:jc w:val="right"/>
        <w:rPr>
          <w:rFonts w:ascii="Arial" w:hAnsi="Arial" w:cs="Arial"/>
          <w:b/>
          <w:bCs/>
          <w:color w:val="244061"/>
          <w:sz w:val="20"/>
          <w:szCs w:val="20"/>
        </w:rPr>
      </w:pPr>
      <w:r w:rsidRPr="00506517">
        <w:rPr>
          <w:rFonts w:ascii="Arial" w:hAnsi="Arial" w:cs="Arial"/>
          <w:b/>
          <w:bCs/>
          <w:color w:val="244061"/>
          <w:sz w:val="20"/>
          <w:szCs w:val="20"/>
        </w:rPr>
        <w:t xml:space="preserve">Ref: </w:t>
      </w:r>
      <w:r w:rsidR="00746FD7">
        <w:rPr>
          <w:rFonts w:ascii="Arial" w:hAnsi="Arial" w:cs="Arial"/>
          <w:b/>
          <w:bCs/>
          <w:color w:val="244061"/>
          <w:sz w:val="20"/>
          <w:szCs w:val="20"/>
        </w:rPr>
        <w:t>GJF/2018/05/03</w:t>
      </w:r>
    </w:p>
    <w:p w:rsidR="00513DB0" w:rsidRDefault="00CF291B" w:rsidP="00746FD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4447540</wp:posOffset>
            </wp:positionH>
            <wp:positionV relativeFrom="paragraph">
              <wp:posOffset>62865</wp:posOffset>
            </wp:positionV>
            <wp:extent cx="1315085" cy="1315085"/>
            <wp:effectExtent l="19050" t="0" r="0" b="0"/>
            <wp:wrapSquare wrapText="bothSides"/>
            <wp:docPr id="1"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8" cstate="print"/>
                    <a:srcRect/>
                    <a:stretch>
                      <a:fillRect/>
                    </a:stretch>
                  </pic:blipFill>
                  <pic:spPr bwMode="auto">
                    <a:xfrm>
                      <a:off x="0" y="0"/>
                      <a:ext cx="1315085" cy="1315085"/>
                    </a:xfrm>
                    <a:prstGeom prst="rect">
                      <a:avLst/>
                    </a:prstGeom>
                    <a:noFill/>
                    <a:ln w="9525">
                      <a:noFill/>
                      <a:miter lim="800000"/>
                      <a:headEnd/>
                      <a:tailEnd/>
                    </a:ln>
                  </pic:spPr>
                </pic:pic>
              </a:graphicData>
            </a:graphic>
          </wp:anchor>
        </w:drawing>
      </w:r>
    </w:p>
    <w:p w:rsidR="00A2577B" w:rsidRPr="001175E5" w:rsidRDefault="00882F92" w:rsidP="00746FD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C61F03">
        <w:rPr>
          <w:rFonts w:ascii="Arial" w:hAnsi="Arial" w:cs="Arial"/>
          <w:b w:val="0"/>
          <w:sz w:val="24"/>
          <w:szCs w:val="24"/>
        </w:rPr>
        <w:t>10 May</w:t>
      </w:r>
      <w:r w:rsidR="00F260C0">
        <w:rPr>
          <w:rFonts w:ascii="Arial" w:hAnsi="Arial" w:cs="Arial"/>
          <w:b w:val="0"/>
          <w:sz w:val="24"/>
          <w:szCs w:val="24"/>
        </w:rPr>
        <w:t xml:space="preserve"> 2018</w:t>
      </w:r>
    </w:p>
    <w:p w:rsidR="001175E5" w:rsidRPr="00682309" w:rsidRDefault="001175E5" w:rsidP="00746FD7">
      <w:pPr>
        <w:ind w:left="-426" w:right="183"/>
        <w:rPr>
          <w:rFonts w:ascii="Arial" w:hAnsi="Arial" w:cs="Arial"/>
        </w:rPr>
      </w:pPr>
    </w:p>
    <w:p w:rsidR="00A2577B" w:rsidRPr="00682309" w:rsidRDefault="00A2577B" w:rsidP="00746FD7">
      <w:pPr>
        <w:ind w:left="-426"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F1061D">
        <w:rPr>
          <w:rFonts w:ascii="Arial" w:hAnsi="Arial" w:cs="Arial"/>
          <w:bCs/>
        </w:rPr>
        <w:t>Partnership Forum Update</w:t>
      </w:r>
    </w:p>
    <w:p w:rsidR="00A2577B" w:rsidRPr="00682309" w:rsidRDefault="00A2577B" w:rsidP="00746FD7">
      <w:pPr>
        <w:ind w:left="-426" w:right="183"/>
        <w:rPr>
          <w:rFonts w:ascii="Arial" w:hAnsi="Arial" w:cs="Arial"/>
          <w:b/>
          <w:bCs/>
        </w:rPr>
      </w:pPr>
      <w:r w:rsidRPr="00682309">
        <w:rPr>
          <w:rFonts w:ascii="Arial" w:hAnsi="Arial" w:cs="Arial"/>
          <w:b/>
          <w:bCs/>
        </w:rPr>
        <w:tab/>
      </w:r>
    </w:p>
    <w:p w:rsidR="00506517" w:rsidRPr="00E61045" w:rsidRDefault="00A2577B" w:rsidP="00746FD7">
      <w:pPr>
        <w:ind w:left="-426" w:right="183"/>
        <w:rPr>
          <w:rFonts w:ascii="Arial" w:hAnsi="Arial" w:cs="Arial"/>
          <w:sz w:val="18"/>
          <w:szCs w:val="18"/>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 xml:space="preserve">Board members are asked to </w:t>
      </w:r>
      <w:r w:rsidR="00E95856">
        <w:rPr>
          <w:rFonts w:ascii="Arial" w:hAnsi="Arial" w:cs="Arial"/>
        </w:rPr>
        <w:tab/>
      </w:r>
      <w:r w:rsidR="00E95856">
        <w:rPr>
          <w:rFonts w:ascii="Arial" w:hAnsi="Arial" w:cs="Arial"/>
        </w:rPr>
        <w:tab/>
      </w:r>
      <w:r w:rsidR="00E95856">
        <w:rPr>
          <w:rFonts w:ascii="Arial" w:hAnsi="Arial" w:cs="Arial"/>
        </w:rPr>
        <w:tab/>
      </w:r>
      <w:r w:rsidR="00E95856">
        <w:rPr>
          <w:rFonts w:ascii="Arial" w:hAnsi="Arial" w:cs="Arial"/>
        </w:rPr>
        <w:tab/>
      </w:r>
      <w:r w:rsidR="00E95856">
        <w:rPr>
          <w:rFonts w:ascii="Arial" w:hAnsi="Arial" w:cs="Arial"/>
        </w:rPr>
        <w:tab/>
      </w:r>
      <w:r w:rsidR="00E61045">
        <w:rPr>
          <w:rFonts w:ascii="Arial" w:hAnsi="Arial" w:cs="Arial"/>
        </w:rPr>
        <w:tab/>
      </w:r>
      <w:r w:rsidR="001175E5" w:rsidRPr="00C92710">
        <w:rPr>
          <w:rFonts w:ascii="Arial" w:hAnsi="Arial" w:cs="Arial"/>
        </w:rPr>
        <w:t>note</w:t>
      </w:r>
      <w:r w:rsidR="00F1061D">
        <w:rPr>
          <w:rFonts w:ascii="Arial" w:hAnsi="Arial" w:cs="Arial"/>
          <w:iCs/>
        </w:rPr>
        <w:t xml:space="preserve"> this update</w:t>
      </w:r>
      <w:r w:rsidR="00FD5E76">
        <w:rPr>
          <w:rFonts w:ascii="Arial" w:hAnsi="Arial" w:cs="Arial"/>
          <w:i/>
          <w:iCs/>
        </w:rPr>
        <w:br/>
      </w:r>
      <w:r w:rsidR="00FD5E76">
        <w:rPr>
          <w:rFonts w:ascii="Arial" w:hAnsi="Arial" w:cs="Arial"/>
          <w:i/>
          <w:iCs/>
        </w:rPr>
        <w:br/>
      </w:r>
    </w:p>
    <w:p w:rsidR="00A2577B" w:rsidRPr="00682309" w:rsidRDefault="00513DB0" w:rsidP="00746FD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1175E5" w:rsidRDefault="001175E5" w:rsidP="00746FD7">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746FD7">
      <w:pPr>
        <w:ind w:left="-426" w:right="183"/>
        <w:rPr>
          <w:rFonts w:ascii="Arial" w:hAnsi="Arial" w:cs="Arial"/>
          <w:b/>
          <w:bCs/>
        </w:rPr>
      </w:pPr>
      <w:r w:rsidRPr="001175E5">
        <w:rPr>
          <w:rFonts w:ascii="Arial" w:hAnsi="Arial" w:cs="Arial"/>
          <w:b/>
          <w:bCs/>
        </w:rPr>
        <w:tab/>
      </w:r>
    </w:p>
    <w:p w:rsidR="006D232B" w:rsidRPr="006D232B" w:rsidRDefault="006D232B" w:rsidP="00746FD7">
      <w:pPr>
        <w:rPr>
          <w:rFonts w:ascii="Arial" w:hAnsi="Arial" w:cs="Arial"/>
        </w:rPr>
      </w:pPr>
      <w:r w:rsidRPr="006D232B">
        <w:rPr>
          <w:rFonts w:ascii="Arial" w:hAnsi="Arial" w:cs="Arial"/>
        </w:rPr>
        <w:t xml:space="preserve">The following key points were agreed at the meeting </w:t>
      </w:r>
      <w:r w:rsidR="004A781A">
        <w:rPr>
          <w:rFonts w:ascii="Arial" w:hAnsi="Arial" w:cs="Arial"/>
        </w:rPr>
        <w:t xml:space="preserve">on </w:t>
      </w:r>
      <w:r w:rsidR="004D4234">
        <w:rPr>
          <w:rFonts w:ascii="Arial" w:hAnsi="Arial" w:cs="Arial"/>
        </w:rPr>
        <w:t>20 April 2018</w:t>
      </w:r>
      <w:r w:rsidR="004A781A">
        <w:rPr>
          <w:rFonts w:ascii="Arial" w:hAnsi="Arial" w:cs="Arial"/>
        </w:rPr>
        <w:t xml:space="preserve"> </w:t>
      </w:r>
      <w:r w:rsidRPr="006D232B">
        <w:rPr>
          <w:rFonts w:ascii="Arial" w:hAnsi="Arial" w:cs="Arial"/>
        </w:rPr>
        <w:t>and have been split into the three high level quality ambitions of person centred, safe, and effective.</w:t>
      </w:r>
    </w:p>
    <w:p w:rsidR="006D232B" w:rsidRPr="006D232B" w:rsidRDefault="006D232B" w:rsidP="00746FD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745A4B" w:rsidTr="00746FD7">
        <w:trPr>
          <w:trHeight w:val="388"/>
        </w:trPr>
        <w:tc>
          <w:tcPr>
            <w:tcW w:w="1251" w:type="dxa"/>
            <w:shd w:val="clear" w:color="auto" w:fill="0000FF"/>
          </w:tcPr>
          <w:p w:rsidR="006D232B" w:rsidRPr="00745A4B" w:rsidRDefault="006D232B" w:rsidP="00746FD7">
            <w:pPr>
              <w:ind w:left="34"/>
              <w:rPr>
                <w:rFonts w:ascii="Arial" w:hAnsi="Arial" w:cs="Arial"/>
                <w:b/>
                <w:bCs/>
                <w:color w:val="FFFFFF"/>
                <w:lang w:val="en-US"/>
              </w:rPr>
            </w:pPr>
            <w:r w:rsidRPr="00745A4B">
              <w:rPr>
                <w:rFonts w:ascii="Arial" w:hAnsi="Arial" w:cs="Arial"/>
                <w:b/>
                <w:bCs/>
                <w:color w:val="FFFFFF"/>
                <w:lang w:val="en-US"/>
              </w:rPr>
              <w:t>Item</w:t>
            </w:r>
          </w:p>
        </w:tc>
        <w:tc>
          <w:tcPr>
            <w:tcW w:w="7929" w:type="dxa"/>
            <w:shd w:val="clear" w:color="auto" w:fill="0000FF"/>
          </w:tcPr>
          <w:p w:rsidR="006D232B" w:rsidRPr="00745A4B" w:rsidRDefault="006D232B" w:rsidP="00746FD7">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746FD7">
        <w:tc>
          <w:tcPr>
            <w:tcW w:w="1251" w:type="dxa"/>
          </w:tcPr>
          <w:p w:rsidR="006D232B" w:rsidRPr="00745A4B" w:rsidRDefault="006D232B" w:rsidP="00746FD7">
            <w:pPr>
              <w:ind w:left="34"/>
              <w:rPr>
                <w:rFonts w:ascii="Arial" w:hAnsi="Arial" w:cs="Arial"/>
                <w:b/>
                <w:bCs/>
                <w:lang w:val="en-US"/>
              </w:rPr>
            </w:pPr>
            <w:r w:rsidRPr="00745A4B">
              <w:rPr>
                <w:rFonts w:ascii="Arial" w:hAnsi="Arial" w:cs="Arial"/>
                <w:b/>
                <w:bCs/>
                <w:lang w:val="en-US"/>
              </w:rPr>
              <w:t xml:space="preserve">Person </w:t>
            </w:r>
            <w:proofErr w:type="spellStart"/>
            <w:r w:rsidRPr="00745A4B">
              <w:rPr>
                <w:rFonts w:ascii="Arial" w:hAnsi="Arial" w:cs="Arial"/>
                <w:b/>
                <w:bCs/>
                <w:lang w:val="en-US"/>
              </w:rPr>
              <w:t>Centred</w:t>
            </w:r>
            <w:proofErr w:type="spellEnd"/>
          </w:p>
          <w:p w:rsidR="006D232B" w:rsidRPr="00745A4B" w:rsidRDefault="006D232B" w:rsidP="00746FD7">
            <w:pPr>
              <w:ind w:left="34"/>
              <w:rPr>
                <w:rFonts w:ascii="Arial" w:hAnsi="Arial" w:cs="Arial"/>
                <w:bCs/>
                <w:lang w:val="en-US"/>
              </w:rPr>
            </w:pPr>
          </w:p>
          <w:p w:rsidR="006D232B" w:rsidRPr="00745A4B" w:rsidRDefault="006D232B" w:rsidP="00746FD7">
            <w:pPr>
              <w:ind w:left="34"/>
              <w:rPr>
                <w:rFonts w:ascii="Arial" w:hAnsi="Arial" w:cs="Arial"/>
                <w:bCs/>
                <w:lang w:val="en-US"/>
              </w:rPr>
            </w:pPr>
          </w:p>
          <w:p w:rsidR="006D232B" w:rsidRPr="00745A4B" w:rsidRDefault="006D232B" w:rsidP="00746FD7">
            <w:pPr>
              <w:ind w:left="34"/>
              <w:rPr>
                <w:rFonts w:ascii="Arial" w:hAnsi="Arial" w:cs="Arial"/>
                <w:bCs/>
                <w:lang w:val="en-US"/>
              </w:rPr>
            </w:pPr>
          </w:p>
        </w:tc>
        <w:tc>
          <w:tcPr>
            <w:tcW w:w="7929" w:type="dxa"/>
          </w:tcPr>
          <w:p w:rsidR="006D232B" w:rsidRPr="00E61045" w:rsidRDefault="006D232B" w:rsidP="00746FD7">
            <w:pPr>
              <w:rPr>
                <w:rFonts w:ascii="Arial" w:hAnsi="Arial" w:cs="Arial"/>
                <w:b/>
                <w:color w:val="000000"/>
              </w:rPr>
            </w:pPr>
            <w:r w:rsidRPr="00E61045">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E61045" w:rsidRDefault="006D232B" w:rsidP="00746FD7">
            <w:pPr>
              <w:rPr>
                <w:rFonts w:ascii="Arial" w:hAnsi="Arial" w:cs="Arial"/>
                <w:bCs/>
                <w:lang w:val="en-US"/>
              </w:rPr>
            </w:pPr>
          </w:p>
          <w:p w:rsidR="00B24C85" w:rsidRPr="000922D5" w:rsidRDefault="00F50CAB" w:rsidP="00746FD7">
            <w:pPr>
              <w:outlineLvl w:val="0"/>
              <w:rPr>
                <w:rFonts w:ascii="Arial" w:hAnsi="Arial" w:cs="Arial"/>
                <w:b/>
              </w:rPr>
            </w:pPr>
            <w:r w:rsidRPr="000922D5">
              <w:rPr>
                <w:rFonts w:ascii="Arial" w:hAnsi="Arial" w:cs="Arial"/>
                <w:b/>
              </w:rPr>
              <w:t xml:space="preserve">Staff Governance </w:t>
            </w:r>
            <w:r w:rsidR="00C61F03">
              <w:rPr>
                <w:rFonts w:ascii="Arial" w:hAnsi="Arial" w:cs="Arial"/>
                <w:b/>
              </w:rPr>
              <w:t>Submission</w:t>
            </w:r>
            <w:r w:rsidRPr="000922D5">
              <w:rPr>
                <w:rFonts w:ascii="Arial" w:hAnsi="Arial" w:cs="Arial"/>
                <w:b/>
              </w:rPr>
              <w:t xml:space="preserve"> 2018/19</w:t>
            </w:r>
          </w:p>
          <w:p w:rsidR="003B742F" w:rsidRPr="000922D5" w:rsidRDefault="003B742F" w:rsidP="00746FD7">
            <w:pPr>
              <w:rPr>
                <w:rFonts w:ascii="Arial" w:hAnsi="Arial" w:cs="Arial"/>
              </w:rPr>
            </w:pPr>
          </w:p>
          <w:p w:rsidR="006E6DA9" w:rsidRDefault="00F50CAB" w:rsidP="00746FD7">
            <w:pPr>
              <w:rPr>
                <w:rFonts w:ascii="Arial" w:hAnsi="Arial" w:cs="Arial"/>
              </w:rPr>
            </w:pPr>
            <w:r w:rsidRPr="000922D5">
              <w:rPr>
                <w:rFonts w:ascii="Arial" w:hAnsi="Arial" w:cs="Arial"/>
              </w:rPr>
              <w:t xml:space="preserve">The Forum </w:t>
            </w:r>
            <w:r w:rsidR="00C61F03">
              <w:rPr>
                <w:rFonts w:ascii="Arial" w:hAnsi="Arial" w:cs="Arial"/>
              </w:rPr>
              <w:t>reviewed this year’s Staff Governance Submission. It was noted that work is still ongoing nationally to finalise the submission format</w:t>
            </w:r>
            <w:r w:rsidR="006E6DA9">
              <w:rPr>
                <w:rFonts w:ascii="Arial" w:hAnsi="Arial" w:cs="Arial"/>
              </w:rPr>
              <w:t>, which is anticipated being in place for next year.</w:t>
            </w:r>
            <w:r w:rsidR="00746FD7">
              <w:rPr>
                <w:rFonts w:ascii="Arial" w:hAnsi="Arial" w:cs="Arial"/>
              </w:rPr>
              <w:t xml:space="preserve"> </w:t>
            </w:r>
            <w:r w:rsidR="006E6DA9">
              <w:rPr>
                <w:rFonts w:ascii="Arial" w:hAnsi="Arial" w:cs="Arial"/>
              </w:rPr>
              <w:t>The Forum approve</w:t>
            </w:r>
            <w:r w:rsidR="00746FD7">
              <w:rPr>
                <w:rFonts w:ascii="Arial" w:hAnsi="Arial" w:cs="Arial"/>
              </w:rPr>
              <w:t>d</w:t>
            </w:r>
            <w:r w:rsidR="006E6DA9">
              <w:rPr>
                <w:rFonts w:ascii="Arial" w:hAnsi="Arial" w:cs="Arial"/>
              </w:rPr>
              <w:t xml:space="preserve"> the Submission</w:t>
            </w:r>
            <w:r w:rsidR="00C546FD">
              <w:rPr>
                <w:rFonts w:ascii="Arial" w:hAnsi="Arial" w:cs="Arial"/>
              </w:rPr>
              <w:t>.</w:t>
            </w:r>
          </w:p>
          <w:p w:rsidR="00C546FD" w:rsidRDefault="00C546FD" w:rsidP="00746FD7">
            <w:pPr>
              <w:rPr>
                <w:rFonts w:ascii="Arial" w:hAnsi="Arial" w:cs="Arial"/>
              </w:rPr>
            </w:pPr>
          </w:p>
          <w:p w:rsidR="00C546FD" w:rsidRDefault="00C546FD" w:rsidP="00746FD7">
            <w:pPr>
              <w:rPr>
                <w:rFonts w:ascii="Arial" w:hAnsi="Arial" w:cs="Arial"/>
                <w:b/>
              </w:rPr>
            </w:pPr>
            <w:r w:rsidRPr="00C546FD">
              <w:rPr>
                <w:rFonts w:ascii="Arial" w:hAnsi="Arial" w:cs="Arial"/>
                <w:b/>
              </w:rPr>
              <w:t>Occupational Health C</w:t>
            </w:r>
            <w:r w:rsidR="00746FD7">
              <w:rPr>
                <w:rFonts w:ascii="Arial" w:hAnsi="Arial" w:cs="Arial"/>
                <w:b/>
              </w:rPr>
              <w:t xml:space="preserve">ommunity </w:t>
            </w:r>
            <w:r w:rsidRPr="00C546FD">
              <w:rPr>
                <w:rFonts w:ascii="Arial" w:hAnsi="Arial" w:cs="Arial"/>
                <w:b/>
              </w:rPr>
              <w:t>H</w:t>
            </w:r>
            <w:r w:rsidR="00746FD7">
              <w:rPr>
                <w:rFonts w:ascii="Arial" w:hAnsi="Arial" w:cs="Arial"/>
                <w:b/>
              </w:rPr>
              <w:t xml:space="preserve">ealth </w:t>
            </w:r>
            <w:r w:rsidRPr="00C546FD">
              <w:rPr>
                <w:rFonts w:ascii="Arial" w:hAnsi="Arial" w:cs="Arial"/>
                <w:b/>
              </w:rPr>
              <w:t>I</w:t>
            </w:r>
            <w:r w:rsidR="00746FD7">
              <w:rPr>
                <w:rFonts w:ascii="Arial" w:hAnsi="Arial" w:cs="Arial"/>
                <w:b/>
              </w:rPr>
              <w:t>ndex (CHI)</w:t>
            </w:r>
            <w:r w:rsidRPr="00C546FD">
              <w:rPr>
                <w:rFonts w:ascii="Arial" w:hAnsi="Arial" w:cs="Arial"/>
                <w:b/>
              </w:rPr>
              <w:t xml:space="preserve"> Numbers</w:t>
            </w:r>
          </w:p>
          <w:p w:rsidR="00C546FD" w:rsidRDefault="00C546FD" w:rsidP="00746FD7">
            <w:pPr>
              <w:rPr>
                <w:rFonts w:ascii="Arial" w:hAnsi="Arial" w:cs="Arial"/>
                <w:b/>
              </w:rPr>
            </w:pPr>
          </w:p>
          <w:p w:rsidR="00C546FD" w:rsidRDefault="00C546FD" w:rsidP="00746FD7">
            <w:pPr>
              <w:rPr>
                <w:rFonts w:ascii="Arial" w:hAnsi="Arial" w:cs="Arial"/>
              </w:rPr>
            </w:pPr>
            <w:r>
              <w:rPr>
                <w:rFonts w:ascii="Arial" w:hAnsi="Arial" w:cs="Arial"/>
              </w:rPr>
              <w:t xml:space="preserve">The Forum was updated on the changes being made by Occupational Health to move staff samples from being identified using locally generated identification to CHI numbers. This was a requirement due to the lab browser, which was previously used, not being able to be supported moving forward. The locally generated numbers had previously been thought to protect staff confidentiality but </w:t>
            </w:r>
            <w:r w:rsidR="003257E7">
              <w:rPr>
                <w:rFonts w:ascii="Arial" w:hAnsi="Arial" w:cs="Arial"/>
              </w:rPr>
              <w:t>the Forum</w:t>
            </w:r>
            <w:r>
              <w:rPr>
                <w:rFonts w:ascii="Arial" w:hAnsi="Arial" w:cs="Arial"/>
              </w:rPr>
              <w:t xml:space="preserve"> </w:t>
            </w:r>
            <w:r w:rsidR="003257E7">
              <w:rPr>
                <w:rFonts w:ascii="Arial" w:hAnsi="Arial" w:cs="Arial"/>
              </w:rPr>
              <w:t>was</w:t>
            </w:r>
            <w:r>
              <w:rPr>
                <w:rFonts w:ascii="Arial" w:hAnsi="Arial" w:cs="Arial"/>
              </w:rPr>
              <w:t xml:space="preserve"> happy</w:t>
            </w:r>
            <w:r w:rsidR="003257E7">
              <w:rPr>
                <w:rFonts w:ascii="Arial" w:hAnsi="Arial" w:cs="Arial"/>
              </w:rPr>
              <w:t xml:space="preserve"> to support</w:t>
            </w:r>
            <w:r>
              <w:rPr>
                <w:rFonts w:ascii="Arial" w:hAnsi="Arial" w:cs="Arial"/>
              </w:rPr>
              <w:t xml:space="preserve"> recognising that </w:t>
            </w:r>
            <w:r w:rsidR="003257E7">
              <w:rPr>
                <w:rFonts w:ascii="Arial" w:hAnsi="Arial" w:cs="Arial"/>
              </w:rPr>
              <w:t>the “Fair Warning System” would capture any breaches.</w:t>
            </w:r>
          </w:p>
          <w:p w:rsidR="003257E7" w:rsidRDefault="003257E7" w:rsidP="00746FD7">
            <w:pPr>
              <w:rPr>
                <w:rFonts w:ascii="Arial" w:hAnsi="Arial" w:cs="Arial"/>
              </w:rPr>
            </w:pPr>
          </w:p>
          <w:p w:rsidR="006B081A" w:rsidRDefault="006B081A" w:rsidP="00746FD7">
            <w:pPr>
              <w:rPr>
                <w:rFonts w:ascii="Arial" w:hAnsi="Arial" w:cs="Arial"/>
                <w:b/>
              </w:rPr>
            </w:pPr>
            <w:r w:rsidRPr="006B081A">
              <w:rPr>
                <w:rFonts w:ascii="Arial" w:hAnsi="Arial" w:cs="Arial"/>
                <w:b/>
              </w:rPr>
              <w:t>Celebration Events 2018</w:t>
            </w:r>
          </w:p>
          <w:p w:rsidR="006B081A" w:rsidRDefault="006B081A" w:rsidP="00746FD7">
            <w:pPr>
              <w:rPr>
                <w:rFonts w:ascii="Arial" w:hAnsi="Arial" w:cs="Arial"/>
                <w:b/>
              </w:rPr>
            </w:pPr>
          </w:p>
          <w:p w:rsidR="00746FD7" w:rsidRPr="006B081A" w:rsidRDefault="006B081A" w:rsidP="00746FD7">
            <w:pPr>
              <w:rPr>
                <w:rFonts w:ascii="Arial" w:hAnsi="Arial" w:cs="Arial"/>
              </w:rPr>
            </w:pPr>
            <w:r>
              <w:rPr>
                <w:rFonts w:ascii="Arial" w:hAnsi="Arial" w:cs="Arial"/>
              </w:rPr>
              <w:t>The Forum was updated on plans to celebrate not only the 70</w:t>
            </w:r>
            <w:r w:rsidRPr="006B081A">
              <w:rPr>
                <w:rFonts w:ascii="Arial" w:hAnsi="Arial" w:cs="Arial"/>
                <w:vertAlign w:val="superscript"/>
              </w:rPr>
              <w:t>th</w:t>
            </w:r>
            <w:r>
              <w:rPr>
                <w:rFonts w:ascii="Arial" w:hAnsi="Arial" w:cs="Arial"/>
              </w:rPr>
              <w:t xml:space="preserve"> anniversary of the NHS but the 10</w:t>
            </w:r>
            <w:r w:rsidRPr="006B081A">
              <w:rPr>
                <w:rFonts w:ascii="Arial" w:hAnsi="Arial" w:cs="Arial"/>
                <w:vertAlign w:val="superscript"/>
              </w:rPr>
              <w:t>th</w:t>
            </w:r>
            <w:r>
              <w:rPr>
                <w:rFonts w:ascii="Arial" w:hAnsi="Arial" w:cs="Arial"/>
              </w:rPr>
              <w:t xml:space="preserve"> anniversary of the heart-lung migration. It was noted that as well as a raft of educational events, there are plans for celebrations for staff, their families and the local community.</w:t>
            </w:r>
          </w:p>
        </w:tc>
      </w:tr>
      <w:tr w:rsidR="0022267C" w:rsidRPr="00745A4B" w:rsidTr="00AE5053">
        <w:trPr>
          <w:trHeight w:val="388"/>
        </w:trPr>
        <w:tc>
          <w:tcPr>
            <w:tcW w:w="1251" w:type="dxa"/>
            <w:shd w:val="clear" w:color="auto" w:fill="0000FF"/>
          </w:tcPr>
          <w:p w:rsidR="0022267C" w:rsidRPr="00745A4B" w:rsidRDefault="0022267C" w:rsidP="00AE5053">
            <w:pPr>
              <w:ind w:left="34"/>
              <w:rPr>
                <w:rFonts w:ascii="Arial" w:hAnsi="Arial" w:cs="Arial"/>
                <w:b/>
                <w:bCs/>
                <w:color w:val="FFFFFF"/>
                <w:lang w:val="en-US"/>
              </w:rPr>
            </w:pPr>
            <w:r w:rsidRPr="00745A4B">
              <w:rPr>
                <w:rFonts w:ascii="Arial" w:hAnsi="Arial" w:cs="Arial"/>
                <w:b/>
                <w:bCs/>
                <w:color w:val="FFFFFF"/>
                <w:lang w:val="en-US"/>
              </w:rPr>
              <w:lastRenderedPageBreak/>
              <w:t>Item</w:t>
            </w:r>
          </w:p>
        </w:tc>
        <w:tc>
          <w:tcPr>
            <w:tcW w:w="7929" w:type="dxa"/>
            <w:shd w:val="clear" w:color="auto" w:fill="0000FF"/>
          </w:tcPr>
          <w:p w:rsidR="0022267C" w:rsidRPr="00745A4B" w:rsidRDefault="0022267C" w:rsidP="00AE5053">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746FD7">
        <w:tc>
          <w:tcPr>
            <w:tcW w:w="1251" w:type="dxa"/>
          </w:tcPr>
          <w:p w:rsidR="006D232B" w:rsidRPr="00745A4B" w:rsidRDefault="006D232B" w:rsidP="00746FD7">
            <w:pPr>
              <w:ind w:left="34"/>
              <w:rPr>
                <w:rFonts w:ascii="Arial" w:hAnsi="Arial" w:cs="Arial"/>
                <w:b/>
                <w:bCs/>
                <w:lang w:val="en-US"/>
              </w:rPr>
            </w:pPr>
            <w:r w:rsidRPr="00745A4B">
              <w:rPr>
                <w:rFonts w:ascii="Arial" w:hAnsi="Arial" w:cs="Arial"/>
                <w:b/>
                <w:bCs/>
                <w:lang w:val="en-US"/>
              </w:rPr>
              <w:t>Safe</w:t>
            </w:r>
          </w:p>
          <w:p w:rsidR="006D232B" w:rsidRPr="00745A4B" w:rsidRDefault="006D232B" w:rsidP="00746FD7">
            <w:pPr>
              <w:ind w:left="34"/>
              <w:rPr>
                <w:rFonts w:ascii="Arial" w:hAnsi="Arial" w:cs="Arial"/>
              </w:rPr>
            </w:pPr>
          </w:p>
          <w:p w:rsidR="006D232B" w:rsidRPr="00745A4B" w:rsidRDefault="006D232B" w:rsidP="00746FD7">
            <w:pPr>
              <w:ind w:left="34"/>
              <w:rPr>
                <w:rFonts w:ascii="Arial" w:hAnsi="Arial" w:cs="Arial"/>
              </w:rPr>
            </w:pPr>
          </w:p>
          <w:p w:rsidR="006D232B" w:rsidRPr="00745A4B" w:rsidRDefault="006D232B" w:rsidP="00746FD7">
            <w:pPr>
              <w:ind w:left="34"/>
              <w:rPr>
                <w:rFonts w:ascii="Arial" w:hAnsi="Arial" w:cs="Arial"/>
              </w:rPr>
            </w:pPr>
          </w:p>
          <w:p w:rsidR="006D232B" w:rsidRPr="00745A4B" w:rsidRDefault="006D232B" w:rsidP="00746FD7">
            <w:pPr>
              <w:ind w:left="34"/>
              <w:rPr>
                <w:rFonts w:ascii="Arial" w:hAnsi="Arial" w:cs="Arial"/>
              </w:rPr>
            </w:pPr>
          </w:p>
          <w:p w:rsidR="006D232B" w:rsidRPr="00745A4B" w:rsidRDefault="006D232B" w:rsidP="00746FD7">
            <w:pPr>
              <w:rPr>
                <w:rFonts w:ascii="Arial" w:hAnsi="Arial" w:cs="Arial"/>
              </w:rPr>
            </w:pPr>
          </w:p>
          <w:p w:rsidR="006D232B" w:rsidRPr="00745A4B" w:rsidRDefault="006D232B" w:rsidP="00746FD7">
            <w:pPr>
              <w:ind w:left="34"/>
              <w:rPr>
                <w:rFonts w:ascii="Arial" w:hAnsi="Arial" w:cs="Arial"/>
              </w:rPr>
            </w:pPr>
          </w:p>
        </w:tc>
        <w:tc>
          <w:tcPr>
            <w:tcW w:w="7929" w:type="dxa"/>
          </w:tcPr>
          <w:p w:rsidR="006D232B" w:rsidRPr="00E61045" w:rsidRDefault="006D232B" w:rsidP="00746FD7">
            <w:pPr>
              <w:pStyle w:val="ListParagraph"/>
              <w:ind w:left="0"/>
              <w:rPr>
                <w:b/>
                <w:color w:val="000000"/>
              </w:rPr>
            </w:pPr>
            <w:r w:rsidRPr="00E61045">
              <w:rPr>
                <w:b/>
                <w:color w:val="000000"/>
              </w:rPr>
              <w:t>There will be no avoidable injury or harm to people from healthcare they receive, and an appropriate, clean and safe environment will be provided for the delivery of healthcare services at all times.</w:t>
            </w:r>
          </w:p>
          <w:p w:rsidR="006D232B" w:rsidRPr="00E61045" w:rsidRDefault="006D232B" w:rsidP="00746FD7">
            <w:pPr>
              <w:rPr>
                <w:rFonts w:ascii="Arial" w:hAnsi="Arial" w:cs="Arial"/>
                <w:bCs/>
                <w:lang w:val="en-US"/>
              </w:rPr>
            </w:pPr>
          </w:p>
          <w:p w:rsidR="00F50CAB" w:rsidRDefault="003257E7" w:rsidP="00746FD7">
            <w:pPr>
              <w:rPr>
                <w:rFonts w:ascii="Arial" w:hAnsi="Arial" w:cs="Arial"/>
                <w:b/>
              </w:rPr>
            </w:pPr>
            <w:r>
              <w:rPr>
                <w:rFonts w:ascii="Arial" w:hAnsi="Arial" w:cs="Arial"/>
                <w:b/>
              </w:rPr>
              <w:t xml:space="preserve">Manual Handling </w:t>
            </w:r>
            <w:r w:rsidR="00746FD7">
              <w:rPr>
                <w:rFonts w:ascii="Arial" w:hAnsi="Arial" w:cs="Arial"/>
                <w:b/>
              </w:rPr>
              <w:t>P</w:t>
            </w:r>
            <w:r>
              <w:rPr>
                <w:rFonts w:ascii="Arial" w:hAnsi="Arial" w:cs="Arial"/>
                <w:b/>
              </w:rPr>
              <w:t>olicy</w:t>
            </w:r>
          </w:p>
          <w:p w:rsidR="003257E7" w:rsidRDefault="003257E7" w:rsidP="00746FD7">
            <w:pPr>
              <w:rPr>
                <w:rFonts w:ascii="Arial" w:hAnsi="Arial" w:cs="Arial"/>
                <w:b/>
              </w:rPr>
            </w:pPr>
          </w:p>
          <w:p w:rsidR="00F50CAB" w:rsidRDefault="003257E7" w:rsidP="00746FD7">
            <w:pPr>
              <w:rPr>
                <w:rFonts w:ascii="Arial" w:hAnsi="Arial" w:cs="Arial"/>
              </w:rPr>
            </w:pPr>
            <w:r w:rsidRPr="003257E7">
              <w:rPr>
                <w:rFonts w:ascii="Arial" w:hAnsi="Arial" w:cs="Arial"/>
              </w:rPr>
              <w:t>The</w:t>
            </w:r>
            <w:r>
              <w:rPr>
                <w:rFonts w:ascii="Arial" w:hAnsi="Arial" w:cs="Arial"/>
              </w:rPr>
              <w:t xml:space="preserve"> reviewed</w:t>
            </w:r>
            <w:r w:rsidRPr="003257E7">
              <w:rPr>
                <w:rFonts w:ascii="Arial" w:hAnsi="Arial" w:cs="Arial"/>
              </w:rPr>
              <w:t xml:space="preserve"> Manual Handling poli</w:t>
            </w:r>
            <w:r>
              <w:rPr>
                <w:rFonts w:ascii="Arial" w:hAnsi="Arial" w:cs="Arial"/>
              </w:rPr>
              <w:t>cy was presented to the Forum. Along with the policy review there was an extensive review of the tra</w:t>
            </w:r>
            <w:r w:rsidR="00D56DC4">
              <w:rPr>
                <w:rFonts w:ascii="Arial" w:hAnsi="Arial" w:cs="Arial"/>
              </w:rPr>
              <w:t>ining requirement for the Board.</w:t>
            </w:r>
            <w:r>
              <w:rPr>
                <w:rFonts w:ascii="Arial" w:hAnsi="Arial" w:cs="Arial"/>
              </w:rPr>
              <w:t xml:space="preserve"> The outputs of this review are being taken forward by the </w:t>
            </w:r>
            <w:r w:rsidR="00D56DC4">
              <w:rPr>
                <w:rFonts w:ascii="Arial" w:hAnsi="Arial" w:cs="Arial"/>
              </w:rPr>
              <w:t>manual handling trainer.</w:t>
            </w:r>
            <w:r w:rsidR="00746FD7">
              <w:rPr>
                <w:rFonts w:ascii="Arial" w:hAnsi="Arial" w:cs="Arial"/>
              </w:rPr>
              <w:t xml:space="preserve"> </w:t>
            </w:r>
            <w:r w:rsidR="00F50CAB">
              <w:rPr>
                <w:rFonts w:ascii="Arial" w:hAnsi="Arial" w:cs="Arial"/>
              </w:rPr>
              <w:t xml:space="preserve">The Forum approved </w:t>
            </w:r>
            <w:r w:rsidR="00D56DC4">
              <w:rPr>
                <w:rFonts w:ascii="Arial" w:hAnsi="Arial" w:cs="Arial"/>
              </w:rPr>
              <w:t>the policy and supported the training plans.</w:t>
            </w:r>
          </w:p>
          <w:p w:rsidR="00D56DC4" w:rsidRPr="00B84D08" w:rsidRDefault="00D56DC4" w:rsidP="00746FD7">
            <w:pPr>
              <w:rPr>
                <w:rFonts w:ascii="Arial" w:hAnsi="Arial" w:cs="Arial"/>
                <w:b/>
                <w:bCs/>
              </w:rPr>
            </w:pPr>
          </w:p>
        </w:tc>
      </w:tr>
      <w:tr w:rsidR="006D232B" w:rsidRPr="00745A4B" w:rsidTr="00746FD7">
        <w:tc>
          <w:tcPr>
            <w:tcW w:w="1251" w:type="dxa"/>
          </w:tcPr>
          <w:p w:rsidR="006D232B" w:rsidRPr="00745A4B" w:rsidRDefault="006D232B" w:rsidP="00746FD7">
            <w:pPr>
              <w:ind w:left="34"/>
              <w:rPr>
                <w:rFonts w:ascii="Arial" w:hAnsi="Arial" w:cs="Arial"/>
                <w:b/>
                <w:lang w:val="en-US"/>
              </w:rPr>
            </w:pPr>
            <w:r w:rsidRPr="00745A4B">
              <w:rPr>
                <w:rFonts w:ascii="Arial" w:hAnsi="Arial" w:cs="Arial"/>
                <w:b/>
                <w:lang w:val="en-US"/>
              </w:rPr>
              <w:t>Effective</w:t>
            </w:r>
          </w:p>
          <w:p w:rsidR="006D232B" w:rsidRPr="00745A4B" w:rsidRDefault="006D232B" w:rsidP="00746FD7">
            <w:pPr>
              <w:ind w:left="34"/>
              <w:rPr>
                <w:rFonts w:ascii="Arial" w:hAnsi="Arial" w:cs="Arial"/>
              </w:rPr>
            </w:pPr>
          </w:p>
          <w:p w:rsidR="006D232B" w:rsidRPr="00745A4B" w:rsidRDefault="006D232B" w:rsidP="00746FD7">
            <w:pPr>
              <w:ind w:left="34"/>
              <w:rPr>
                <w:rFonts w:ascii="Arial" w:hAnsi="Arial" w:cs="Arial"/>
              </w:rPr>
            </w:pPr>
          </w:p>
          <w:p w:rsidR="006D232B" w:rsidRPr="00745A4B" w:rsidRDefault="006D232B" w:rsidP="00746FD7">
            <w:pPr>
              <w:ind w:left="34"/>
              <w:rPr>
                <w:rFonts w:ascii="Arial" w:hAnsi="Arial" w:cs="Arial"/>
              </w:rPr>
            </w:pPr>
          </w:p>
        </w:tc>
        <w:tc>
          <w:tcPr>
            <w:tcW w:w="7929" w:type="dxa"/>
          </w:tcPr>
          <w:p w:rsidR="006D232B" w:rsidRPr="00E61045" w:rsidRDefault="006D232B" w:rsidP="00746FD7">
            <w:pPr>
              <w:pStyle w:val="ListParagraph"/>
              <w:ind w:left="0"/>
              <w:rPr>
                <w:b/>
                <w:color w:val="000000"/>
              </w:rPr>
            </w:pPr>
            <w:r w:rsidRPr="00E61045">
              <w:rPr>
                <w:b/>
                <w:color w:val="000000"/>
              </w:rPr>
              <w:t>The most appropriate treatments, interventions, support and services will be provided at the right time to everyone who will benefit, and wasteful or harmful variation will be eradicated.</w:t>
            </w:r>
          </w:p>
          <w:p w:rsidR="006D232B" w:rsidRDefault="006D232B" w:rsidP="00746FD7">
            <w:pPr>
              <w:rPr>
                <w:rFonts w:ascii="Arial" w:hAnsi="Arial" w:cs="Arial"/>
                <w:b/>
                <w:lang w:val="en-US"/>
              </w:rPr>
            </w:pPr>
          </w:p>
          <w:p w:rsidR="001F128F" w:rsidRDefault="00746FD7" w:rsidP="00746FD7">
            <w:pPr>
              <w:rPr>
                <w:rFonts w:ascii="Arial" w:hAnsi="Arial" w:cs="Arial"/>
                <w:b/>
                <w:lang w:val="en-US"/>
              </w:rPr>
            </w:pPr>
            <w:r>
              <w:rPr>
                <w:rFonts w:ascii="Arial" w:hAnsi="Arial" w:cs="Arial"/>
                <w:b/>
                <w:lang w:val="en-US"/>
              </w:rPr>
              <w:t xml:space="preserve">Golden Jubilee Foundation (GJF) and </w:t>
            </w:r>
            <w:r w:rsidR="006E6DA9">
              <w:rPr>
                <w:rFonts w:ascii="Arial" w:hAnsi="Arial" w:cs="Arial"/>
                <w:b/>
                <w:lang w:val="en-US"/>
              </w:rPr>
              <w:t>Scottish Ambulance</w:t>
            </w:r>
            <w:r>
              <w:rPr>
                <w:rFonts w:ascii="Arial" w:hAnsi="Arial" w:cs="Arial"/>
                <w:b/>
                <w:lang w:val="en-US"/>
              </w:rPr>
              <w:t xml:space="preserve"> Service</w:t>
            </w:r>
            <w:r w:rsidR="006E6DA9">
              <w:rPr>
                <w:rFonts w:ascii="Arial" w:hAnsi="Arial" w:cs="Arial"/>
                <w:b/>
                <w:lang w:val="en-US"/>
              </w:rPr>
              <w:t xml:space="preserve"> </w:t>
            </w:r>
            <w:r>
              <w:rPr>
                <w:rFonts w:ascii="Arial" w:hAnsi="Arial" w:cs="Arial"/>
                <w:b/>
                <w:lang w:val="en-US"/>
              </w:rPr>
              <w:t xml:space="preserve">(SAS) </w:t>
            </w:r>
            <w:r w:rsidR="006E6DA9">
              <w:rPr>
                <w:rFonts w:ascii="Arial" w:hAnsi="Arial" w:cs="Arial"/>
                <w:b/>
                <w:lang w:val="en-US"/>
              </w:rPr>
              <w:t>Collaboration</w:t>
            </w:r>
          </w:p>
          <w:p w:rsidR="006E6DA9" w:rsidRDefault="006E6DA9" w:rsidP="00746FD7">
            <w:pPr>
              <w:rPr>
                <w:rFonts w:ascii="Arial" w:hAnsi="Arial" w:cs="Arial"/>
                <w:b/>
                <w:lang w:val="en-US"/>
              </w:rPr>
            </w:pPr>
          </w:p>
          <w:p w:rsidR="006E6DA9" w:rsidRDefault="006E6DA9" w:rsidP="00746FD7">
            <w:pPr>
              <w:rPr>
                <w:rFonts w:ascii="Arial" w:hAnsi="Arial" w:cs="Arial"/>
                <w:lang w:val="en-US"/>
              </w:rPr>
            </w:pPr>
            <w:r>
              <w:rPr>
                <w:rFonts w:ascii="Arial" w:hAnsi="Arial" w:cs="Arial"/>
                <w:lang w:val="en-US"/>
              </w:rPr>
              <w:t xml:space="preserve">The Forum was informed of the collaboration with SAS, which sees the </w:t>
            </w:r>
            <w:r w:rsidR="00C546FD">
              <w:rPr>
                <w:rFonts w:ascii="Arial" w:hAnsi="Arial" w:cs="Arial"/>
                <w:lang w:val="en-US"/>
              </w:rPr>
              <w:t xml:space="preserve">GJF </w:t>
            </w:r>
            <w:r>
              <w:rPr>
                <w:rFonts w:ascii="Arial" w:hAnsi="Arial" w:cs="Arial"/>
                <w:lang w:val="en-US"/>
              </w:rPr>
              <w:t>Director of Finance</w:t>
            </w:r>
            <w:r w:rsidR="00C546FD">
              <w:rPr>
                <w:rFonts w:ascii="Arial" w:hAnsi="Arial" w:cs="Arial"/>
                <w:lang w:val="en-US"/>
              </w:rPr>
              <w:t xml:space="preserve"> working part-time in both boards. The arran</w:t>
            </w:r>
            <w:r w:rsidR="00746FD7">
              <w:rPr>
                <w:rFonts w:ascii="Arial" w:hAnsi="Arial" w:cs="Arial"/>
                <w:lang w:val="en-US"/>
              </w:rPr>
              <w:t xml:space="preserve">gement will be reviewed after six </w:t>
            </w:r>
            <w:r w:rsidR="00C546FD">
              <w:rPr>
                <w:rFonts w:ascii="Arial" w:hAnsi="Arial" w:cs="Arial"/>
                <w:lang w:val="en-US"/>
              </w:rPr>
              <w:t>months.</w:t>
            </w:r>
          </w:p>
          <w:p w:rsidR="006E6DA9" w:rsidRDefault="006E6DA9" w:rsidP="00746FD7">
            <w:pPr>
              <w:rPr>
                <w:rFonts w:ascii="Arial" w:hAnsi="Arial" w:cs="Arial"/>
                <w:lang w:val="en-US"/>
              </w:rPr>
            </w:pPr>
          </w:p>
          <w:p w:rsidR="006E6DA9" w:rsidRDefault="006E6DA9" w:rsidP="00746FD7">
            <w:pPr>
              <w:rPr>
                <w:rFonts w:ascii="Arial" w:hAnsi="Arial" w:cs="Arial"/>
                <w:b/>
                <w:lang w:val="en-US"/>
              </w:rPr>
            </w:pPr>
            <w:r>
              <w:rPr>
                <w:rFonts w:ascii="Arial" w:hAnsi="Arial" w:cs="Arial"/>
                <w:b/>
                <w:lang w:val="en-US"/>
              </w:rPr>
              <w:t>National Board</w:t>
            </w:r>
            <w:r w:rsidR="00746FD7">
              <w:rPr>
                <w:rFonts w:ascii="Arial" w:hAnsi="Arial" w:cs="Arial"/>
                <w:b/>
                <w:lang w:val="en-US"/>
              </w:rPr>
              <w:t>s</w:t>
            </w:r>
            <w:r>
              <w:rPr>
                <w:rFonts w:ascii="Arial" w:hAnsi="Arial" w:cs="Arial"/>
                <w:b/>
                <w:lang w:val="en-US"/>
              </w:rPr>
              <w:t xml:space="preserve"> </w:t>
            </w:r>
            <w:r w:rsidRPr="006E6DA9">
              <w:rPr>
                <w:rFonts w:ascii="Arial" w:hAnsi="Arial" w:cs="Arial"/>
                <w:b/>
                <w:lang w:val="en-US"/>
              </w:rPr>
              <w:t>Vacancy Review Process</w:t>
            </w:r>
          </w:p>
          <w:p w:rsidR="006E6DA9" w:rsidRDefault="006E6DA9" w:rsidP="00746FD7">
            <w:pPr>
              <w:rPr>
                <w:rFonts w:ascii="Arial" w:hAnsi="Arial" w:cs="Arial"/>
                <w:b/>
                <w:lang w:val="en-US"/>
              </w:rPr>
            </w:pPr>
          </w:p>
          <w:p w:rsidR="006E6DA9" w:rsidRDefault="006E6DA9" w:rsidP="00746FD7">
            <w:pPr>
              <w:rPr>
                <w:rFonts w:ascii="Arial" w:hAnsi="Arial" w:cs="Arial"/>
                <w:lang w:val="en-US"/>
              </w:rPr>
            </w:pPr>
            <w:r w:rsidRPr="006E6DA9">
              <w:rPr>
                <w:rFonts w:ascii="Arial" w:hAnsi="Arial" w:cs="Arial"/>
                <w:lang w:val="en-US"/>
              </w:rPr>
              <w:t xml:space="preserve">The Forum discussed the </w:t>
            </w:r>
            <w:r>
              <w:rPr>
                <w:rFonts w:ascii="Arial" w:hAnsi="Arial" w:cs="Arial"/>
                <w:lang w:val="en-US"/>
              </w:rPr>
              <w:t>vacancy review process. It was noted that most of this process was the GJF vacancy review process, with the additional step of liaising with the other national boards prior to external advertisement.</w:t>
            </w:r>
            <w:r w:rsidR="00746FD7">
              <w:rPr>
                <w:rFonts w:ascii="Arial" w:hAnsi="Arial" w:cs="Arial"/>
                <w:lang w:val="en-US"/>
              </w:rPr>
              <w:t xml:space="preserve"> </w:t>
            </w:r>
            <w:r>
              <w:rPr>
                <w:rFonts w:ascii="Arial" w:hAnsi="Arial" w:cs="Arial"/>
                <w:lang w:val="en-US"/>
              </w:rPr>
              <w:t xml:space="preserve">Staff </w:t>
            </w:r>
            <w:r w:rsidR="00746FD7">
              <w:rPr>
                <w:rFonts w:ascii="Arial" w:hAnsi="Arial" w:cs="Arial"/>
                <w:lang w:val="en-US"/>
              </w:rPr>
              <w:t>S</w:t>
            </w:r>
            <w:r>
              <w:rPr>
                <w:rFonts w:ascii="Arial" w:hAnsi="Arial" w:cs="Arial"/>
                <w:lang w:val="en-US"/>
              </w:rPr>
              <w:t>ide sought assurance that this would not impact on internal promotion opportunities</w:t>
            </w:r>
            <w:r w:rsidR="007C79F3">
              <w:rPr>
                <w:rFonts w:ascii="Arial" w:hAnsi="Arial" w:cs="Arial"/>
                <w:lang w:val="en-US"/>
              </w:rPr>
              <w:t xml:space="preserve"> and would also like to see the process being monitored to ensure that we can measure the impact.</w:t>
            </w:r>
          </w:p>
          <w:p w:rsidR="00D56DC4" w:rsidRDefault="00D56DC4" w:rsidP="00746FD7">
            <w:pPr>
              <w:rPr>
                <w:rFonts w:ascii="Arial" w:hAnsi="Arial" w:cs="Arial"/>
                <w:lang w:val="en-US"/>
              </w:rPr>
            </w:pPr>
          </w:p>
          <w:p w:rsidR="00D56DC4" w:rsidRDefault="00D56DC4" w:rsidP="00746FD7">
            <w:pPr>
              <w:rPr>
                <w:rFonts w:ascii="Arial" w:hAnsi="Arial" w:cs="Arial"/>
                <w:b/>
                <w:lang w:val="en-US"/>
              </w:rPr>
            </w:pPr>
            <w:r w:rsidRPr="00D56DC4">
              <w:rPr>
                <w:rFonts w:ascii="Arial" w:hAnsi="Arial" w:cs="Arial"/>
                <w:b/>
                <w:lang w:val="en-US"/>
              </w:rPr>
              <w:t>A</w:t>
            </w:r>
            <w:r w:rsidR="00746FD7">
              <w:rPr>
                <w:rFonts w:ascii="Arial" w:hAnsi="Arial" w:cs="Arial"/>
                <w:b/>
                <w:lang w:val="en-US"/>
              </w:rPr>
              <w:t xml:space="preserve">llied </w:t>
            </w:r>
            <w:r w:rsidRPr="00D56DC4">
              <w:rPr>
                <w:rFonts w:ascii="Arial" w:hAnsi="Arial" w:cs="Arial"/>
                <w:b/>
                <w:lang w:val="en-US"/>
              </w:rPr>
              <w:t>H</w:t>
            </w:r>
            <w:r w:rsidR="00746FD7">
              <w:rPr>
                <w:rFonts w:ascii="Arial" w:hAnsi="Arial" w:cs="Arial"/>
                <w:b/>
                <w:lang w:val="en-US"/>
              </w:rPr>
              <w:t>ealth Professions (AHP)</w:t>
            </w:r>
            <w:r w:rsidRPr="00D56DC4">
              <w:rPr>
                <w:rFonts w:ascii="Arial" w:hAnsi="Arial" w:cs="Arial"/>
                <w:b/>
                <w:lang w:val="en-US"/>
              </w:rPr>
              <w:t xml:space="preserve"> Strategy</w:t>
            </w:r>
          </w:p>
          <w:p w:rsidR="00D56DC4" w:rsidRDefault="00D56DC4" w:rsidP="00746FD7">
            <w:pPr>
              <w:rPr>
                <w:rFonts w:ascii="Arial" w:hAnsi="Arial" w:cs="Arial"/>
                <w:b/>
                <w:lang w:val="en-US"/>
              </w:rPr>
            </w:pPr>
          </w:p>
          <w:p w:rsidR="00D56DC4" w:rsidRDefault="00D56DC4" w:rsidP="00746FD7">
            <w:pPr>
              <w:rPr>
                <w:rFonts w:ascii="Arial" w:hAnsi="Arial" w:cs="Arial"/>
                <w:lang w:val="en-US"/>
              </w:rPr>
            </w:pPr>
            <w:r w:rsidRPr="00D56DC4">
              <w:rPr>
                <w:rFonts w:ascii="Arial" w:hAnsi="Arial" w:cs="Arial"/>
                <w:lang w:val="en-US"/>
              </w:rPr>
              <w:t>The Forum reviewed</w:t>
            </w:r>
            <w:r>
              <w:rPr>
                <w:rFonts w:ascii="Arial" w:hAnsi="Arial" w:cs="Arial"/>
                <w:lang w:val="en-US"/>
              </w:rPr>
              <w:t xml:space="preserve"> </w:t>
            </w:r>
            <w:r w:rsidRPr="00D56DC4">
              <w:rPr>
                <w:rFonts w:ascii="Arial" w:hAnsi="Arial" w:cs="Arial"/>
                <w:lang w:val="en-US"/>
              </w:rPr>
              <w:t>the Board</w:t>
            </w:r>
            <w:r w:rsidR="00746FD7">
              <w:rPr>
                <w:rFonts w:ascii="Arial" w:hAnsi="Arial" w:cs="Arial"/>
                <w:lang w:val="en-US"/>
              </w:rPr>
              <w:t>’</w:t>
            </w:r>
            <w:r w:rsidRPr="00D56DC4">
              <w:rPr>
                <w:rFonts w:ascii="Arial" w:hAnsi="Arial" w:cs="Arial"/>
                <w:lang w:val="en-US"/>
              </w:rPr>
              <w:t>s AHP Strategy, which supports the delivery of the Government</w:t>
            </w:r>
            <w:r w:rsidR="00746FD7">
              <w:rPr>
                <w:rFonts w:ascii="Arial" w:hAnsi="Arial" w:cs="Arial"/>
                <w:lang w:val="en-US"/>
              </w:rPr>
              <w:t>’</w:t>
            </w:r>
            <w:r w:rsidRPr="00D56DC4">
              <w:rPr>
                <w:rFonts w:ascii="Arial" w:hAnsi="Arial" w:cs="Arial"/>
                <w:lang w:val="en-US"/>
              </w:rPr>
              <w:t xml:space="preserve">s Active and Independent Living </w:t>
            </w:r>
            <w:r w:rsidRPr="00746FD7">
              <w:rPr>
                <w:rFonts w:ascii="Arial" w:hAnsi="Arial" w:cs="Arial"/>
              </w:rPr>
              <w:t>Programme</w:t>
            </w:r>
            <w:r>
              <w:rPr>
                <w:rFonts w:ascii="Arial" w:hAnsi="Arial" w:cs="Arial"/>
                <w:lang w:val="en-US"/>
              </w:rPr>
              <w:t>. It was noted that the key priorities were identified as development of the AHP workf</w:t>
            </w:r>
            <w:r w:rsidR="00746FD7">
              <w:rPr>
                <w:rFonts w:ascii="Arial" w:hAnsi="Arial" w:cs="Arial"/>
                <w:lang w:val="en-US"/>
              </w:rPr>
              <w:t>orce and the health and well</w:t>
            </w:r>
            <w:r>
              <w:rPr>
                <w:rFonts w:ascii="Arial" w:hAnsi="Arial" w:cs="Arial"/>
                <w:lang w:val="en-US"/>
              </w:rPr>
              <w:t xml:space="preserve">being of staff and patients. </w:t>
            </w:r>
          </w:p>
          <w:p w:rsidR="00D56DC4" w:rsidRDefault="00D56DC4" w:rsidP="00746FD7">
            <w:pPr>
              <w:rPr>
                <w:rFonts w:ascii="Arial" w:hAnsi="Arial" w:cs="Arial"/>
                <w:lang w:val="en-US"/>
              </w:rPr>
            </w:pPr>
          </w:p>
          <w:p w:rsidR="00D56DC4" w:rsidRDefault="00D56DC4" w:rsidP="00746FD7">
            <w:pPr>
              <w:rPr>
                <w:rFonts w:ascii="Arial" w:hAnsi="Arial" w:cs="Arial"/>
                <w:b/>
                <w:lang w:val="en-US"/>
              </w:rPr>
            </w:pPr>
            <w:r>
              <w:rPr>
                <w:rFonts w:ascii="Arial" w:hAnsi="Arial" w:cs="Arial"/>
                <w:b/>
                <w:lang w:val="en-US"/>
              </w:rPr>
              <w:t xml:space="preserve">Advanced </w:t>
            </w:r>
            <w:r w:rsidRPr="00D56DC4">
              <w:rPr>
                <w:rFonts w:ascii="Arial" w:hAnsi="Arial" w:cs="Arial"/>
                <w:b/>
                <w:lang w:val="en-US"/>
              </w:rPr>
              <w:t>Practitioner Strategy</w:t>
            </w:r>
          </w:p>
          <w:p w:rsidR="00D56DC4" w:rsidRDefault="00D56DC4" w:rsidP="00746FD7">
            <w:pPr>
              <w:rPr>
                <w:rFonts w:ascii="Arial" w:hAnsi="Arial" w:cs="Arial"/>
                <w:b/>
                <w:lang w:val="en-US"/>
              </w:rPr>
            </w:pPr>
          </w:p>
          <w:p w:rsidR="00D56DC4" w:rsidRDefault="00D56DC4" w:rsidP="00746FD7">
            <w:pPr>
              <w:rPr>
                <w:rFonts w:ascii="Arial" w:hAnsi="Arial" w:cs="Arial"/>
                <w:lang w:val="en-US"/>
              </w:rPr>
            </w:pPr>
            <w:r w:rsidRPr="00D56DC4">
              <w:rPr>
                <w:rFonts w:ascii="Arial" w:hAnsi="Arial" w:cs="Arial"/>
                <w:lang w:val="en-US"/>
              </w:rPr>
              <w:t>The Forum was presented with the reviewed strategy</w:t>
            </w:r>
            <w:r>
              <w:rPr>
                <w:rFonts w:ascii="Arial" w:hAnsi="Arial" w:cs="Arial"/>
                <w:lang w:val="en-US"/>
              </w:rPr>
              <w:t xml:space="preserve">. It was noted that the Board has had a strategy in place since 2011, and that this is the </w:t>
            </w:r>
            <w:r w:rsidR="00746FD7">
              <w:rPr>
                <w:rFonts w:ascii="Arial" w:hAnsi="Arial" w:cs="Arial"/>
                <w:lang w:val="en-US"/>
              </w:rPr>
              <w:t>third</w:t>
            </w:r>
            <w:r>
              <w:rPr>
                <w:rFonts w:ascii="Arial" w:hAnsi="Arial" w:cs="Arial"/>
                <w:lang w:val="en-US"/>
              </w:rPr>
              <w:t xml:space="preserve"> version. The revised strategy places emphasis on building the processes</w:t>
            </w:r>
            <w:r w:rsidR="006B081A">
              <w:rPr>
                <w:rFonts w:ascii="Arial" w:hAnsi="Arial" w:cs="Arial"/>
                <w:lang w:val="en-US"/>
              </w:rPr>
              <w:t xml:space="preserve"> for identifying and registering advance practice roles within the Board and supporting the ongoing training and education for these roles.</w:t>
            </w:r>
          </w:p>
          <w:p w:rsidR="00746FD7" w:rsidRPr="00D56DC4" w:rsidRDefault="00746FD7" w:rsidP="00746FD7">
            <w:pPr>
              <w:rPr>
                <w:rFonts w:ascii="Arial" w:hAnsi="Arial" w:cs="Arial"/>
                <w:lang w:val="en-US"/>
              </w:rPr>
            </w:pPr>
          </w:p>
        </w:tc>
      </w:tr>
    </w:tbl>
    <w:p w:rsidR="006D232B" w:rsidRDefault="006D232B" w:rsidP="00746FD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hAnsi="Arial Bold" w:cs="Arial Bold"/>
        </w:rPr>
      </w:pPr>
      <w:r>
        <w:rPr>
          <w:rFonts w:ascii="Arial Bold"/>
          <w:lang w:val="en-US"/>
        </w:rPr>
        <w:lastRenderedPageBreak/>
        <w:t xml:space="preserve">The </w:t>
      </w:r>
      <w:r w:rsidR="004A781A">
        <w:rPr>
          <w:rFonts w:ascii="Arial Bold"/>
          <w:lang w:val="en-US"/>
        </w:rPr>
        <w:t xml:space="preserve">next meeting is scheduled for </w:t>
      </w:r>
      <w:r w:rsidR="000922D5">
        <w:rPr>
          <w:rFonts w:ascii="Arial Bold"/>
          <w:lang w:val="en-US"/>
        </w:rPr>
        <w:t>2</w:t>
      </w:r>
      <w:r w:rsidR="006B081A">
        <w:rPr>
          <w:rFonts w:ascii="Arial Bold"/>
          <w:lang w:val="en-US"/>
        </w:rPr>
        <w:t>9 June</w:t>
      </w:r>
      <w:r w:rsidR="008E465D">
        <w:rPr>
          <w:rFonts w:ascii="Arial Bold"/>
          <w:lang w:val="en-US"/>
        </w:rPr>
        <w:t xml:space="preserve"> 2018</w:t>
      </w:r>
      <w:r>
        <w:rPr>
          <w:rFonts w:ascii="Arial Bold"/>
          <w:lang w:val="en-US"/>
        </w:rPr>
        <w:t>.</w:t>
      </w:r>
    </w:p>
    <w:p w:rsidR="001175E5" w:rsidRPr="00162874" w:rsidRDefault="001175E5" w:rsidP="00746FD7">
      <w:pPr>
        <w:ind w:right="183"/>
        <w:rPr>
          <w:rFonts w:ascii="Arial" w:hAnsi="Arial" w:cs="Arial"/>
          <w:bCs/>
        </w:rPr>
      </w:pPr>
    </w:p>
    <w:p w:rsidR="001175E5" w:rsidRPr="00C92710" w:rsidRDefault="004A781A" w:rsidP="00746FD7">
      <w:pPr>
        <w:ind w:right="183"/>
        <w:rPr>
          <w:rFonts w:ascii="Arial" w:hAnsi="Arial" w:cs="Arial"/>
          <w:b/>
          <w:bCs/>
        </w:rPr>
      </w:pPr>
      <w:r>
        <w:rPr>
          <w:rFonts w:ascii="Arial" w:hAnsi="Arial" w:cs="Arial"/>
          <w:b/>
          <w:bCs/>
        </w:rPr>
        <w:t>Jane Christie-Flight</w:t>
      </w:r>
    </w:p>
    <w:p w:rsidR="001175E5" w:rsidRPr="00C92710" w:rsidRDefault="004A781A" w:rsidP="00746FD7">
      <w:pPr>
        <w:ind w:right="183"/>
        <w:rPr>
          <w:rFonts w:ascii="Arial" w:hAnsi="Arial" w:cs="Arial"/>
          <w:b/>
          <w:bCs/>
        </w:rPr>
      </w:pPr>
      <w:r>
        <w:rPr>
          <w:rFonts w:ascii="Arial" w:hAnsi="Arial" w:cs="Arial"/>
          <w:b/>
          <w:bCs/>
        </w:rPr>
        <w:t>Employee Director</w:t>
      </w:r>
    </w:p>
    <w:p w:rsidR="00EB7C07" w:rsidRPr="000922D5" w:rsidRDefault="003257E7" w:rsidP="00746FD7">
      <w:pPr>
        <w:ind w:right="183"/>
        <w:rPr>
          <w:rFonts w:ascii="Arial" w:hAnsi="Arial" w:cs="Arial"/>
          <w:b/>
          <w:bCs/>
        </w:rPr>
      </w:pPr>
      <w:r>
        <w:rPr>
          <w:rFonts w:ascii="Arial" w:hAnsi="Arial" w:cs="Arial"/>
          <w:b/>
          <w:bCs/>
        </w:rPr>
        <w:t>2 May</w:t>
      </w:r>
      <w:r w:rsidR="000922D5">
        <w:rPr>
          <w:rFonts w:ascii="Arial" w:hAnsi="Arial" w:cs="Arial"/>
          <w:b/>
          <w:bCs/>
        </w:rPr>
        <w:t xml:space="preserve"> 2018</w:t>
      </w:r>
    </w:p>
    <w:sectPr w:rsidR="00EB7C07" w:rsidRPr="000922D5" w:rsidSect="005B6BEB">
      <w:footerReference w:type="default" r:id="rId9"/>
      <w:footerReference w:type="first" r:id="rId10"/>
      <w:pgSz w:w="11906" w:h="16838"/>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AF1" w:rsidRDefault="00562AF1">
      <w:r>
        <w:separator/>
      </w:r>
    </w:p>
  </w:endnote>
  <w:endnote w:type="continuationSeparator" w:id="0">
    <w:p w:rsidR="00562AF1" w:rsidRDefault="00562A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DC4" w:rsidRDefault="00D56DC4" w:rsidP="005B6BEB">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C074B0" w:rsidRPr="00513DB0">
      <w:rPr>
        <w:rStyle w:val="PageNumber"/>
        <w:rFonts w:ascii="Arial" w:hAnsi="Arial" w:cs="Arial"/>
      </w:rPr>
      <w:fldChar w:fldCharType="begin"/>
    </w:r>
    <w:r w:rsidRPr="00513DB0">
      <w:rPr>
        <w:rStyle w:val="PageNumber"/>
        <w:rFonts w:ascii="Arial" w:hAnsi="Arial" w:cs="Arial"/>
      </w:rPr>
      <w:instrText xml:space="preserve"> PAGE </w:instrText>
    </w:r>
    <w:r w:rsidR="00C074B0" w:rsidRPr="00513DB0">
      <w:rPr>
        <w:rStyle w:val="PageNumber"/>
        <w:rFonts w:ascii="Arial" w:hAnsi="Arial" w:cs="Arial"/>
      </w:rPr>
      <w:fldChar w:fldCharType="separate"/>
    </w:r>
    <w:r w:rsidR="0022267C">
      <w:rPr>
        <w:rStyle w:val="PageNumber"/>
        <w:rFonts w:ascii="Arial" w:hAnsi="Arial" w:cs="Arial"/>
        <w:noProof/>
      </w:rPr>
      <w:t>3</w:t>
    </w:r>
    <w:r w:rsidR="00C074B0"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DC4" w:rsidRPr="00513DB0" w:rsidRDefault="00D56DC4" w:rsidP="005B6BEB">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C074B0" w:rsidRPr="00513DB0">
      <w:rPr>
        <w:rStyle w:val="PageNumber"/>
        <w:rFonts w:ascii="Arial" w:hAnsi="Arial" w:cs="Arial"/>
      </w:rPr>
      <w:fldChar w:fldCharType="begin"/>
    </w:r>
    <w:r w:rsidRPr="00513DB0">
      <w:rPr>
        <w:rStyle w:val="PageNumber"/>
        <w:rFonts w:ascii="Arial" w:hAnsi="Arial" w:cs="Arial"/>
      </w:rPr>
      <w:instrText xml:space="preserve"> PAGE </w:instrText>
    </w:r>
    <w:r w:rsidR="00C074B0" w:rsidRPr="00513DB0">
      <w:rPr>
        <w:rStyle w:val="PageNumber"/>
        <w:rFonts w:ascii="Arial" w:hAnsi="Arial" w:cs="Arial"/>
      </w:rPr>
      <w:fldChar w:fldCharType="separate"/>
    </w:r>
    <w:r w:rsidR="0022267C">
      <w:rPr>
        <w:rStyle w:val="PageNumber"/>
        <w:rFonts w:ascii="Arial" w:hAnsi="Arial" w:cs="Arial"/>
        <w:noProof/>
      </w:rPr>
      <w:t>1</w:t>
    </w:r>
    <w:r w:rsidR="00C074B0" w:rsidRPr="00513DB0">
      <w:rPr>
        <w:rStyle w:val="PageNumber"/>
        <w:rFonts w:ascii="Arial" w:hAnsi="Arial" w:cs="Arial"/>
      </w:rPr>
      <w:fldChar w:fldCharType="end"/>
    </w:r>
  </w:p>
  <w:p w:rsidR="00D56DC4" w:rsidRDefault="00D56DC4" w:rsidP="005B6BEB">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028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D56DC4" w:rsidRPr="008F5DB5" w:rsidRDefault="00D56DC4" w:rsidP="005B6BEB">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D56DC4" w:rsidRPr="005B6BEB" w:rsidRDefault="00D56DC4" w:rsidP="005B6BEB">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AF1" w:rsidRDefault="00562AF1">
      <w:r>
        <w:separator/>
      </w:r>
    </w:p>
  </w:footnote>
  <w:footnote w:type="continuationSeparator" w:id="0">
    <w:p w:rsidR="00562AF1" w:rsidRDefault="00562A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F613B92"/>
    <w:multiLevelType w:val="hybridMultilevel"/>
    <w:tmpl w:val="2514E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09F1AED"/>
    <w:multiLevelType w:val="hybridMultilevel"/>
    <w:tmpl w:val="3A0C6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3AF35FE"/>
    <w:multiLevelType w:val="hybridMultilevel"/>
    <w:tmpl w:val="4AD8B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8BF73B3"/>
    <w:multiLevelType w:val="hybridMultilevel"/>
    <w:tmpl w:val="CFEE6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585DA5"/>
    <w:multiLevelType w:val="hybridMultilevel"/>
    <w:tmpl w:val="B9FA5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50A014A"/>
    <w:multiLevelType w:val="hybridMultilevel"/>
    <w:tmpl w:val="A6B4A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63B85FAA"/>
    <w:multiLevelType w:val="hybridMultilevel"/>
    <w:tmpl w:val="4D40E83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64851816"/>
    <w:multiLevelType w:val="hybridMultilevel"/>
    <w:tmpl w:val="52DC26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A381A60"/>
    <w:multiLevelType w:val="hybridMultilevel"/>
    <w:tmpl w:val="6BECD1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D335E49"/>
    <w:multiLevelType w:val="hybridMultilevel"/>
    <w:tmpl w:val="6A70B7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DD76E07"/>
    <w:multiLevelType w:val="hybridMultilevel"/>
    <w:tmpl w:val="A58A0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2"/>
  </w:num>
  <w:num w:numId="2">
    <w:abstractNumId w:val="17"/>
  </w:num>
  <w:num w:numId="3">
    <w:abstractNumId w:val="9"/>
  </w:num>
  <w:num w:numId="4">
    <w:abstractNumId w:val="0"/>
  </w:num>
  <w:num w:numId="5">
    <w:abstractNumId w:val="2"/>
  </w:num>
  <w:num w:numId="6">
    <w:abstractNumId w:val="14"/>
  </w:num>
  <w:num w:numId="7">
    <w:abstractNumId w:val="18"/>
  </w:num>
  <w:num w:numId="8">
    <w:abstractNumId w:val="1"/>
  </w:num>
  <w:num w:numId="9">
    <w:abstractNumId w:val="15"/>
  </w:num>
  <w:num w:numId="10">
    <w:abstractNumId w:val="10"/>
  </w:num>
  <w:num w:numId="11">
    <w:abstractNumId w:val="13"/>
  </w:num>
  <w:num w:numId="12">
    <w:abstractNumId w:val="6"/>
  </w:num>
  <w:num w:numId="13">
    <w:abstractNumId w:val="4"/>
  </w:num>
  <w:num w:numId="14">
    <w:abstractNumId w:val="7"/>
  </w:num>
  <w:num w:numId="15">
    <w:abstractNumId w:val="8"/>
  </w:num>
  <w:num w:numId="16">
    <w:abstractNumId w:val="3"/>
  </w:num>
  <w:num w:numId="17">
    <w:abstractNumId w:val="11"/>
  </w:num>
  <w:num w:numId="18">
    <w:abstractNumId w:val="16"/>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A2577B"/>
    <w:rsid w:val="000645C7"/>
    <w:rsid w:val="000735A6"/>
    <w:rsid w:val="00075AAA"/>
    <w:rsid w:val="000922D5"/>
    <w:rsid w:val="000A0F2E"/>
    <w:rsid w:val="000B5923"/>
    <w:rsid w:val="000D2298"/>
    <w:rsid w:val="00105EF3"/>
    <w:rsid w:val="001175E5"/>
    <w:rsid w:val="00132628"/>
    <w:rsid w:val="0014213C"/>
    <w:rsid w:val="00162874"/>
    <w:rsid w:val="00164E2C"/>
    <w:rsid w:val="00175E90"/>
    <w:rsid w:val="001849E6"/>
    <w:rsid w:val="001A624A"/>
    <w:rsid w:val="001B3FD3"/>
    <w:rsid w:val="001F128F"/>
    <w:rsid w:val="00200176"/>
    <w:rsid w:val="0022267C"/>
    <w:rsid w:val="00233E6E"/>
    <w:rsid w:val="002C4BD9"/>
    <w:rsid w:val="002F5ACF"/>
    <w:rsid w:val="003257E7"/>
    <w:rsid w:val="00345E55"/>
    <w:rsid w:val="00362A4C"/>
    <w:rsid w:val="003633F3"/>
    <w:rsid w:val="003709AC"/>
    <w:rsid w:val="003B742F"/>
    <w:rsid w:val="003C40FB"/>
    <w:rsid w:val="003E423D"/>
    <w:rsid w:val="003F072A"/>
    <w:rsid w:val="003F19CA"/>
    <w:rsid w:val="00422279"/>
    <w:rsid w:val="004512CE"/>
    <w:rsid w:val="00463DB0"/>
    <w:rsid w:val="004817DB"/>
    <w:rsid w:val="004A781A"/>
    <w:rsid w:val="004B5015"/>
    <w:rsid w:val="004D4234"/>
    <w:rsid w:val="00506517"/>
    <w:rsid w:val="00513DB0"/>
    <w:rsid w:val="005279AF"/>
    <w:rsid w:val="00556446"/>
    <w:rsid w:val="00562AF1"/>
    <w:rsid w:val="00563CFB"/>
    <w:rsid w:val="00566125"/>
    <w:rsid w:val="00590B0A"/>
    <w:rsid w:val="005A20F5"/>
    <w:rsid w:val="005B6BEB"/>
    <w:rsid w:val="005D0B03"/>
    <w:rsid w:val="00686CCE"/>
    <w:rsid w:val="006A1357"/>
    <w:rsid w:val="006B081A"/>
    <w:rsid w:val="006B13DE"/>
    <w:rsid w:val="006D232B"/>
    <w:rsid w:val="006D5301"/>
    <w:rsid w:val="006E6DA9"/>
    <w:rsid w:val="00711853"/>
    <w:rsid w:val="00745A4B"/>
    <w:rsid w:val="00746FD7"/>
    <w:rsid w:val="00796462"/>
    <w:rsid w:val="007A5877"/>
    <w:rsid w:val="007B3D50"/>
    <w:rsid w:val="007C549D"/>
    <w:rsid w:val="007C79F3"/>
    <w:rsid w:val="008019F3"/>
    <w:rsid w:val="00815350"/>
    <w:rsid w:val="00822B37"/>
    <w:rsid w:val="008553E2"/>
    <w:rsid w:val="00867E1A"/>
    <w:rsid w:val="00882F92"/>
    <w:rsid w:val="008C26A2"/>
    <w:rsid w:val="008E2733"/>
    <w:rsid w:val="008E465D"/>
    <w:rsid w:val="00923281"/>
    <w:rsid w:val="009516DF"/>
    <w:rsid w:val="00952AC2"/>
    <w:rsid w:val="00992558"/>
    <w:rsid w:val="00A23935"/>
    <w:rsid w:val="00A2577B"/>
    <w:rsid w:val="00A3241E"/>
    <w:rsid w:val="00AC4334"/>
    <w:rsid w:val="00AD0178"/>
    <w:rsid w:val="00AD6138"/>
    <w:rsid w:val="00B10467"/>
    <w:rsid w:val="00B24C85"/>
    <w:rsid w:val="00B335EB"/>
    <w:rsid w:val="00B36D36"/>
    <w:rsid w:val="00B7085A"/>
    <w:rsid w:val="00B84D08"/>
    <w:rsid w:val="00C074B0"/>
    <w:rsid w:val="00C546FD"/>
    <w:rsid w:val="00C61F03"/>
    <w:rsid w:val="00C956E2"/>
    <w:rsid w:val="00CE7D43"/>
    <w:rsid w:val="00CF291B"/>
    <w:rsid w:val="00D24A8A"/>
    <w:rsid w:val="00D346C3"/>
    <w:rsid w:val="00D36302"/>
    <w:rsid w:val="00D4212D"/>
    <w:rsid w:val="00D50AAD"/>
    <w:rsid w:val="00D56DC4"/>
    <w:rsid w:val="00D84CAE"/>
    <w:rsid w:val="00D92AA6"/>
    <w:rsid w:val="00DA39E7"/>
    <w:rsid w:val="00E02FFA"/>
    <w:rsid w:val="00E21C73"/>
    <w:rsid w:val="00E61045"/>
    <w:rsid w:val="00E95856"/>
    <w:rsid w:val="00EB7C07"/>
    <w:rsid w:val="00ED2D7F"/>
    <w:rsid w:val="00F04DC7"/>
    <w:rsid w:val="00F1061D"/>
    <w:rsid w:val="00F10E68"/>
    <w:rsid w:val="00F13AC2"/>
    <w:rsid w:val="00F260C0"/>
    <w:rsid w:val="00F50CAB"/>
    <w:rsid w:val="00F90199"/>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paragraph" w:styleId="NormalWeb">
    <w:name w:val="Normal (Web)"/>
    <w:basedOn w:val="Normal"/>
    <w:uiPriority w:val="99"/>
    <w:unhideWhenUsed/>
    <w:rsid w:val="00F260C0"/>
    <w:pPr>
      <w:spacing w:before="100" w:beforeAutospacing="1" w:after="100" w:afterAutospacing="1"/>
    </w:pPr>
    <w:rPr>
      <w:lang w:eastAsia="en-GB"/>
    </w:rPr>
  </w:style>
</w:styles>
</file>

<file path=word/webSettings.xml><?xml version="1.0" encoding="utf-8"?>
<w:webSettings xmlns:r="http://schemas.openxmlformats.org/officeDocument/2006/relationships" xmlns:w="http://schemas.openxmlformats.org/wordprocessingml/2006/main">
  <w:divs>
    <w:div w:id="61698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6109B6-EF7B-4B6D-BD3F-2EC547BA6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615</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5</cp:revision>
  <dcterms:created xsi:type="dcterms:W3CDTF">2018-05-03T07:25:00Z</dcterms:created>
  <dcterms:modified xsi:type="dcterms:W3CDTF">2018-05-03T08:09:00Z</dcterms:modified>
</cp:coreProperties>
</file>